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11 (Processing Data)</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Services;</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6">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1C">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D">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1E">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1F">
      <w:pPr>
        <w:numPr>
          <w:ilvl w:val="4"/>
          <w:numId w:val="1"/>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GDPR Article 46 or LED Article 37) as determined by the Controller;</w:t>
      </w:r>
    </w:p>
    <w:bookmarkStart w:colFirst="0" w:colLast="0" w:name="bookmark=id.1t3h5sf" w:id="7"/>
    <w:bookmarkEnd w:id="7"/>
    <w:p w:rsidR="00000000" w:rsidDel="00000000" w:rsidP="00000000" w:rsidRDefault="00000000" w:rsidRPr="00000000" w14:paraId="00000022">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3">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pos="2261"/>
        </w:tabs>
        <w:spacing w:after="12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GDPR or Personal Data relating to criminal convictions and offences referred to in Article 10 of the GDPR; or</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26in1rg" w:id="12"/>
    <w:bookmarkEnd w:id="12"/>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lnxbz9" w:id="13"/>
    <w:bookmarkEnd w:id="13"/>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rsidR="00000000" w:rsidDel="00000000" w:rsidP="00000000" w:rsidRDefault="00000000" w:rsidRPr="00000000" w14:paraId="00000042">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the Parties are Joint Controllers of Personal Data </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GDPR Article 26 based on the terms set out in Annex 2 to this Joint Schedule 11 (</w:t>
      </w:r>
      <w:r w:rsidDel="00000000" w:rsidR="00000000" w:rsidRPr="00000000">
        <w:rPr>
          <w:rFonts w:ascii="Arial" w:cs="Arial" w:eastAsia="Arial" w:hAnsi="Arial"/>
          <w:i w:val="1"/>
          <w:sz w:val="24"/>
          <w:szCs w:val="24"/>
          <w:rtl w:val="0"/>
        </w:rPr>
        <w:t xml:space="preserve">Processing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4">
      <w:pPr>
        <w:keepNext w:val="1"/>
        <w:keepLines w:val="0"/>
        <w:widowControl w:val="1"/>
        <w:pBdr>
          <w:top w:space="0" w:sz="0" w:val="nil"/>
          <w:left w:space="0" w:sz="0" w:val="nil"/>
          <w:bottom w:space="0" w:sz="0" w:val="nil"/>
          <w:right w:space="0" w:sz="0" w:val="nil"/>
          <w:between w:space="0" w:sz="0" w:val="nil"/>
        </w:pBdr>
        <w:shd w:fill="auto" w:val="clear"/>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Controllers of Personal Data </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GDPR in respect of the Processing of Personal Data for the purposes of the Contract.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GDPR); and</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GDPR and shall make the record available to the other Party upon reasonable request.</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2">
      <w:pPr>
        <w:numPr>
          <w:ilvl w:val="3"/>
          <w:numId w:val="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3">
      <w:pPr>
        <w:numPr>
          <w:ilvl w:val="3"/>
          <w:numId w:val="1"/>
        </w:numPr>
        <w:pBdr>
          <w:top w:space="0" w:sz="0" w:val="nil"/>
          <w:left w:space="0" w:sz="0" w:val="nil"/>
          <w:bottom w:space="0" w:sz="0" w:val="nil"/>
          <w:right w:space="0" w:sz="0" w:val="nil"/>
          <w:between w:space="0" w:sz="0" w:val="nil"/>
        </w:pBdr>
        <w:spacing w:after="120" w:before="280" w:line="240" w:lineRule="auto"/>
        <w:ind w:left="2126" w:hanging="707.999999999999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 </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24"/>
          <w:szCs w:val="24"/>
          <w:rtl w:val="0"/>
        </w:rPr>
        <w:t xml:space="preserve">7 to 27 of this Joint Schedule 11.</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pStyle w:val="Heading2"/>
        <w:spacing w:after="240" w:before="0" w:lineRule="auto"/>
        <w:ind w:left="709" w:hanging="709"/>
        <w:rPr>
          <w:rFonts w:ascii="Arial" w:cs="Arial" w:eastAsia="Arial" w:hAnsi="Arial"/>
          <w:b w:val="0"/>
          <w:sz w:val="24"/>
          <w:szCs w:val="24"/>
        </w:rPr>
      </w:pPr>
      <w:bookmarkStart w:colFirst="0" w:colLast="0" w:name="_heading=h.35nkun2" w:id="14"/>
      <w:bookmarkEnd w:id="14"/>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5F">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0">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1">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2">
      <w:pPr>
        <w:keepNext w:val="1"/>
        <w:numPr>
          <w:ilvl w:val="3"/>
          <w:numId w:val="2"/>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3">
      <w:pPr>
        <w:keepNext w:val="1"/>
        <w:ind w:left="720" w:firstLine="0"/>
        <w:rPr>
          <w:rFonts w:ascii="Arial" w:cs="Arial" w:eastAsia="Arial" w:hAnsi="Arial"/>
          <w:sz w:val="24"/>
          <w:szCs w:val="24"/>
        </w:rPr>
      </w:pPr>
      <w:r w:rsidDel="00000000" w:rsidR="00000000" w:rsidRPr="00000000">
        <w:rPr>
          <w:rtl w:val="0"/>
        </w:rPr>
      </w:r>
    </w:p>
    <w:tbl>
      <w:tblPr>
        <w:tblStyle w:val="Table1"/>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trHeight w:val="700" w:hRule="atLeast"/>
        </w:trPr>
        <w:tc>
          <w:tcPr>
            <w:shd w:fill="bfbfbf" w:val="clear"/>
            <w:vAlign w:val="center"/>
          </w:tcPr>
          <w:p w:rsidR="00000000" w:rsidDel="00000000" w:rsidP="00000000" w:rsidRDefault="00000000" w:rsidRPr="00000000" w14:paraId="0000006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trHeight w:val="1620" w:hRule="atLeast"/>
        </w:trPr>
        <w:tc>
          <w:tcPr>
            <w:shd w:fill="auto" w:val="clear"/>
          </w:tcPr>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Supplier is the Processor of the following Personal Data:</w:t>
            </w:r>
          </w:p>
          <w:p w:rsidR="00000000" w:rsidDel="00000000" w:rsidP="00000000" w:rsidRDefault="00000000" w:rsidRPr="00000000" w14:paraId="0000006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p>
          <w:p w:rsidR="00000000" w:rsidDel="00000000" w:rsidP="00000000" w:rsidRDefault="00000000" w:rsidRPr="00000000" w14:paraId="0000006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6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i w:val="1"/>
                <w:sz w:val="24"/>
                <w:szCs w:val="24"/>
                <w:rtl w:val="0"/>
              </w:rPr>
              <w:t xml:space="preserve">to paragraph 15</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p>
          <w:p w:rsidR="00000000" w:rsidDel="00000000" w:rsidP="00000000" w:rsidRDefault="00000000" w:rsidRPr="00000000" w14:paraId="00000071">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3">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5">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A">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7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07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7E">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1">
            <w:pPr>
              <w:rPr>
                <w:rFonts w:ascii="Arial" w:cs="Arial" w:eastAsia="Arial" w:hAnsi="Arial"/>
                <w:sz w:val="24"/>
                <w:szCs w:val="24"/>
              </w:rPr>
            </w:pPr>
            <w:r w:rsidDel="00000000" w:rsidR="00000000" w:rsidRPr="00000000">
              <w:rPr>
                <w:rtl w:val="0"/>
              </w:rPr>
            </w:r>
          </w:p>
        </w:tc>
      </w:tr>
      <w:tr>
        <w:trPr>
          <w:trHeight w:val="1460" w:hRule="atLeast"/>
        </w:trPr>
        <w:tc>
          <w:tcPr>
            <w:shd w:fill="auto" w:val="clear"/>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trHeight w:val="1520" w:hRule="atLeast"/>
        </w:trPr>
        <w:tc>
          <w:tcPr>
            <w:shd w:fill="auto" w:val="clear"/>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5">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6">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trHeight w:val="1400" w:hRule="atLeast"/>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trHeight w:val="1560" w:hRule="atLeast"/>
        </w:trPr>
        <w:tc>
          <w:tcPr>
            <w:shd w:fill="auto" w:val="clear"/>
          </w:tcPr>
          <w:p w:rsidR="00000000" w:rsidDel="00000000" w:rsidP="00000000" w:rsidRDefault="00000000" w:rsidRPr="00000000" w14:paraId="0000008A">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trHeight w:val="1660" w:hRule="atLeast"/>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8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2">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3">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4">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5">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w:t>
        <w:tab/>
        <w:t xml:space="preserve">is the exclusive point of contact for Data Subjects and is responsible for all steps necessary to comply with the GDPR regarding the exercise by Data Subjects of their rights under the GDPR;</w:t>
      </w:r>
    </w:p>
    <w:p w:rsidR="00000000" w:rsidDel="00000000" w:rsidP="00000000" w:rsidRDefault="00000000" w:rsidRPr="00000000" w14:paraId="00000096">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 </w:t>
        <w:tab/>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7">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w:t>
        <w:tab/>
        <w:t xml:space="preserve">is solely responsible for the Parties’ compliance with all duties to provide information to Data Subjects under Articles 13 and 14 of the GDPR;</w:t>
      </w:r>
    </w:p>
    <w:p w:rsidR="00000000" w:rsidDel="00000000" w:rsidP="00000000" w:rsidRDefault="00000000" w:rsidRPr="00000000" w14:paraId="00000098">
      <w:pPr>
        <w:ind w:left="993" w:hanging="566"/>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(d)</w:t>
        <w:tab/>
        <w:t xml:space="preserve">is responsible for obtaining the informed consent of Data Subjects, in accordance with the GDPR, for Processing in connection with the Services where consent is the relevant legal basis for that Processing; and</w:t>
      </w:r>
    </w:p>
    <w:p w:rsidR="00000000" w:rsidDel="00000000" w:rsidP="00000000" w:rsidRDefault="00000000" w:rsidRPr="00000000" w14:paraId="00000099">
      <w:pPr>
        <w:ind w:left="993" w:hanging="566"/>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(e)</w:t>
        <w:tab/>
        <w:t xml:space="preserve">shall make available to Data Subjects the essence of this Annex (and notify them of any changes to it) concerning the allocation of responsibilities as Joint Controller</w:t>
      </w:r>
      <w:r w:rsidDel="00000000" w:rsidR="00000000" w:rsidRPr="00000000">
        <w:rPr>
          <w:rFonts w:ascii="Arial" w:cs="Arial" w:eastAsia="Arial" w:hAnsi="Arial"/>
          <w:sz w:val="24"/>
          <w:szCs w:val="24"/>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sz w:val="24"/>
          <w:szCs w:val="24"/>
          <w:highlight w:val="white"/>
          <w:rtl w:val="0"/>
        </w:rPr>
        <w:t xml:space="preserve">. This must be outlined in the [</w:t>
      </w:r>
      <w:r w:rsidDel="00000000" w:rsidR="00000000" w:rsidRPr="00000000">
        <w:rPr>
          <w:rFonts w:ascii="Arial" w:cs="Arial" w:eastAsia="Arial" w:hAnsi="Arial"/>
          <w:sz w:val="24"/>
          <w:szCs w:val="24"/>
          <w:highlight w:val="yellow"/>
          <w:rtl w:val="0"/>
        </w:rPr>
        <w:t xml:space="preserve">Supplier’s/Relevant Authority’s</w:t>
      </w:r>
      <w:r w:rsidDel="00000000" w:rsidR="00000000" w:rsidRPr="00000000">
        <w:rPr>
          <w:rFonts w:ascii="Arial" w:cs="Arial" w:eastAsia="Arial" w:hAnsi="Arial"/>
          <w:sz w:val="24"/>
          <w:szCs w:val="24"/>
          <w:highlight w:val="white"/>
          <w:rtl w:val="0"/>
        </w:rPr>
        <w:t xml:space="preserve">] privacy policy </w:t>
      </w:r>
      <w:r w:rsidDel="00000000" w:rsidR="00000000" w:rsidRPr="00000000">
        <w:rPr>
          <w:rFonts w:ascii="Arial" w:cs="Arial" w:eastAsia="Arial" w:hAnsi="Arial"/>
          <w:sz w:val="24"/>
          <w:szCs w:val="24"/>
          <w:rtl w:val="0"/>
        </w:rPr>
        <w:t xml:space="preserve">(which must be readily available by hyperlink or otherwise on all of its public facing services and marketing).</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9C">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9D">
      <w:pPr>
        <w:ind w:left="1203" w:hanging="566"/>
        <w:rPr>
          <w:rFonts w:ascii="Arial" w:cs="Arial" w:eastAsia="Arial" w:hAnsi="Arial"/>
          <w:strike w:val="1"/>
          <w:sz w:val="24"/>
          <w:szCs w:val="24"/>
        </w:rPr>
      </w:pPr>
      <w:r w:rsidDel="00000000" w:rsidR="00000000" w:rsidRPr="00000000">
        <w:rPr>
          <w:rFonts w:ascii="Arial" w:cs="Arial" w:eastAsia="Arial" w:hAnsi="Arial"/>
          <w:sz w:val="24"/>
          <w:szCs w:val="24"/>
          <w:rtl w:val="0"/>
        </w:rPr>
        <w:t xml:space="preserve">(a)</w:t>
        <w:tab/>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r w:rsidDel="00000000" w:rsidR="00000000" w:rsidRPr="00000000">
        <w:rPr>
          <w:rtl w:val="0"/>
        </w:rPr>
      </w:r>
    </w:p>
    <w:p w:rsidR="00000000" w:rsidDel="00000000" w:rsidP="00000000" w:rsidRDefault="00000000" w:rsidRPr="00000000" w14:paraId="0000009E">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the volume of Data Subject Access Request (or purported Data Subject  Access Requests) from Data Subjects (or third parties on their behalf);</w:t>
      </w:r>
    </w:p>
    <w:p w:rsidR="00000000" w:rsidDel="00000000" w:rsidP="00000000" w:rsidRDefault="00000000" w:rsidRPr="00000000" w14:paraId="0000009F">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the volume of requests from Data Subjects (or third parties on their behalf) to rectify, block or erase any Personal Data; </w:t>
      </w:r>
    </w:p>
    <w:p w:rsidR="00000000" w:rsidDel="00000000" w:rsidP="00000000" w:rsidRDefault="00000000" w:rsidRPr="00000000" w14:paraId="000000A0">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1">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(iv)</w:t>
        <w:tab/>
        <w:t xml:space="preserve">any communications from the Information Commissioner or any other regulatory authority in connection with Personal Data; and</w:t>
      </w:r>
    </w:p>
    <w:p w:rsidR="00000000" w:rsidDel="00000000" w:rsidP="00000000" w:rsidRDefault="00000000" w:rsidRPr="00000000" w14:paraId="000000A2">
      <w:pPr>
        <w:ind w:left="1770"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(v)</w:t>
        <w:tab/>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3">
      <w:pPr>
        <w:ind w:left="120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4">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(b)</w:t>
        <w:tab/>
      </w:r>
      <w:r w:rsidDel="00000000" w:rsidR="00000000" w:rsidRPr="00000000">
        <w:rPr>
          <w:rFonts w:ascii="Arial" w:cs="Arial" w:eastAsia="Arial" w:hAnsi="Arial"/>
          <w:sz w:val="24"/>
          <w:szCs w:val="24"/>
          <w:highlight w:val="white"/>
          <w:rtl w:val="0"/>
        </w:rPr>
        <w:t xml:space="preserve">notify each other immediately if it receives any</w:t>
      </w:r>
      <w:r w:rsidDel="00000000" w:rsidR="00000000" w:rsidRPr="00000000">
        <w:rPr>
          <w:rFonts w:ascii="Arial" w:cs="Arial" w:eastAsia="Arial" w:hAnsi="Arial"/>
          <w:sz w:val="24"/>
          <w:szCs w:val="24"/>
          <w:rtl w:val="0"/>
        </w:rPr>
        <w:t xml:space="preserve"> request, complaint or communication made as referred to in Clauses 2.1(a)(i) to (v); </w:t>
      </w:r>
    </w:p>
    <w:p w:rsidR="00000000" w:rsidDel="00000000" w:rsidP="00000000" w:rsidRDefault="00000000" w:rsidRPr="00000000" w14:paraId="000000A5">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6">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(d) </w:t>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7">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request from the Data Subject only the minimum information necessary to provide the Services and treat such extracted information as Confidential Information;</w:t>
      </w:r>
    </w:p>
    <w:p w:rsidR="00000000" w:rsidDel="00000000" w:rsidP="00000000" w:rsidRDefault="00000000" w:rsidRPr="00000000" w14:paraId="000000A8">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9">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A">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are aware of and comply with their duties under this Annex 2 (Joint Controller Agreement) and those in respect of Confidential Information </w:t>
      </w:r>
    </w:p>
    <w:p w:rsidR="00000000" w:rsidDel="00000000" w:rsidP="00000000" w:rsidRDefault="00000000" w:rsidRPr="00000000" w14:paraId="000000AB">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w:t>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AC">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w:t>
        <w:tab/>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D">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ensure that it has in place Protective Measures as appropriate to protect against a Personal Data Breach having taken account of the:</w:t>
      </w:r>
    </w:p>
    <w:p w:rsidR="00000000" w:rsidDel="00000000" w:rsidP="00000000" w:rsidRDefault="00000000" w:rsidRPr="00000000" w14:paraId="000000AE">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nature of the data to be protected;</w:t>
      </w:r>
    </w:p>
    <w:p w:rsidR="00000000" w:rsidDel="00000000" w:rsidP="00000000" w:rsidRDefault="00000000" w:rsidRPr="00000000" w14:paraId="000000AF">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harm that might result from a Personal Data Breach;</w:t>
      </w:r>
    </w:p>
    <w:p w:rsidR="00000000" w:rsidDel="00000000" w:rsidP="00000000" w:rsidRDefault="00000000" w:rsidRPr="00000000" w14:paraId="000000B0">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(iii)   state of technological development; and</w:t>
      </w:r>
    </w:p>
    <w:p w:rsidR="00000000" w:rsidDel="00000000" w:rsidP="00000000" w:rsidRDefault="00000000" w:rsidRPr="00000000" w14:paraId="000000B1">
      <w:pPr>
        <w:ind w:left="1769"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(iv)   cost of implementing any measures;</w:t>
      </w:r>
    </w:p>
    <w:p w:rsidR="00000000" w:rsidDel="00000000" w:rsidP="00000000" w:rsidRDefault="00000000" w:rsidRPr="00000000" w14:paraId="000000B2">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3">
      <w:pPr>
        <w:ind w:left="1203" w:hanging="566"/>
        <w:rPr>
          <w:rFonts w:ascii="Arial" w:cs="Arial" w:eastAsia="Arial" w:hAnsi="Arial"/>
          <w:sz w:val="24"/>
          <w:szCs w:val="24"/>
        </w:rPr>
      </w:pPr>
      <w:r w:rsidDel="00000000" w:rsidR="00000000" w:rsidRPr="00000000">
        <w:rPr>
          <w:rFonts w:ascii="Arial" w:cs="Arial" w:eastAsia="Arial" w:hAnsi="Arial"/>
          <w:sz w:val="24"/>
          <w:szCs w:val="24"/>
          <w:rtl w:val="0"/>
        </w:rPr>
        <w:t xml:space="preserve">(i)  </w:t>
        <w:tab/>
        <w:t xml:space="preserve">ensure that it notifies the other Party as soon as it becomes aware of a Personal Data Breach. </w:t>
      </w:r>
    </w:p>
    <w:p w:rsidR="00000000" w:rsidDel="00000000" w:rsidP="00000000" w:rsidRDefault="00000000" w:rsidRPr="00000000" w14:paraId="000000B4">
      <w:pPr>
        <w:ind w:left="11"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2.2 </w:t>
        <w:tab/>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5">
      <w:pPr>
        <w:ind w:left="11" w:hanging="720"/>
        <w:rPr>
          <w:rFonts w:ascii="Arial" w:cs="Arial" w:eastAsia="Arial" w:hAnsi="Arial"/>
          <w:b w:val="1"/>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1"/>
          <w:sz w:val="24"/>
          <w:szCs w:val="24"/>
          <w:rtl w:val="0"/>
        </w:rPr>
        <w:t xml:space="preserve">. Data Protection Breach</w:t>
      </w:r>
    </w:p>
    <w:p w:rsidR="00000000" w:rsidDel="00000000" w:rsidP="00000000" w:rsidRDefault="00000000" w:rsidRPr="00000000" w14:paraId="000000B6">
      <w:pPr>
        <w:rPr>
          <w:rFonts w:ascii="Arial" w:cs="Arial" w:eastAsia="Arial" w:hAnsi="Arial"/>
          <w:sz w:val="24"/>
          <w:szCs w:val="24"/>
        </w:rPr>
      </w:pPr>
      <w:r w:rsidDel="00000000" w:rsidR="00000000" w:rsidRPr="00000000">
        <w:rPr>
          <w:rFonts w:ascii="Arial" w:cs="Arial" w:eastAsia="Arial" w:hAnsi="Arial"/>
          <w:sz w:val="24"/>
          <w:szCs w:val="24"/>
          <w:rtl w:val="0"/>
        </w:rPr>
        <w:t xml:space="preserve">3.1 Without prejudice to clause 3.2, each Party shall notify the other Party promptly and without undue delay, and in any event within 48 hours, upon becoming aware of any Personal Data Breach or circumstances that are likely to give rise to a Personal Data Breach, providing the Relevant Authority and its advisors with:</w:t>
      </w:r>
    </w:p>
    <w:p w:rsidR="00000000" w:rsidDel="00000000" w:rsidP="00000000" w:rsidRDefault="00000000" w:rsidRPr="00000000" w14:paraId="000000B7">
      <w:pPr>
        <w:rPr>
          <w:rFonts w:ascii="Arial" w:cs="Arial" w:eastAsia="Arial" w:hAnsi="Arial"/>
          <w:sz w:val="24"/>
          <w:szCs w:val="24"/>
        </w:rPr>
      </w:pPr>
      <w:r w:rsidDel="00000000" w:rsidR="00000000" w:rsidRPr="00000000">
        <w:rPr>
          <w:rFonts w:ascii="Arial" w:cs="Arial" w:eastAsia="Arial" w:hAnsi="Arial"/>
          <w:sz w:val="24"/>
          <w:szCs w:val="24"/>
          <w:rtl w:val="0"/>
        </w:rPr>
        <w:t xml:space="preserve">(a) sufficient information and in a timescale which allows the other Party to meet any obligations to report a Personal Data Breach under the Data Protection Legislation;</w:t>
      </w:r>
    </w:p>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(b) all reasonable assistance, including:</w:t>
      </w:r>
    </w:p>
    <w:p w:rsidR="00000000" w:rsidDel="00000000" w:rsidP="00000000" w:rsidRDefault="00000000" w:rsidRPr="00000000" w14:paraId="000000B9">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A">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co-operation with the other Party including taking such reasonable steps as are directed by the Relevant Authority to assist in the investigation, mitigation and remediation of a Personal Data Breach;</w:t>
      </w:r>
    </w:p>
    <w:p w:rsidR="00000000" w:rsidDel="00000000" w:rsidP="00000000" w:rsidRDefault="00000000" w:rsidRPr="00000000" w14:paraId="000000BB">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C">
      <w:pPr>
        <w:keepNext w:val="0"/>
        <w:keepLines w:val="0"/>
        <w:widowControl w:val="1"/>
        <w:numPr>
          <w:ilvl w:val="5"/>
          <w:numId w:val="2"/>
        </w:numPr>
        <w:pBdr>
          <w:top w:space="0" w:sz="0" w:val="nil"/>
          <w:left w:space="0" w:sz="0" w:val="nil"/>
          <w:bottom w:space="0" w:sz="0" w:val="nil"/>
          <w:right w:space="0" w:sz="0" w:val="nil"/>
          <w:between w:space="0" w:sz="0" w:val="nil"/>
        </w:pBdr>
        <w:shd w:fill="auto" w:val="clear"/>
        <w:spacing w:after="200" w:before="0" w:line="276" w:lineRule="auto"/>
        <w:ind w:left="127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D">
      <w:pPr>
        <w:rPr>
          <w:rFonts w:ascii="Arial" w:cs="Arial" w:eastAsia="Arial" w:hAnsi="Arial"/>
          <w:sz w:val="24"/>
          <w:szCs w:val="24"/>
        </w:rPr>
      </w:pPr>
      <w:r w:rsidDel="00000000" w:rsidR="00000000" w:rsidRPr="00000000">
        <w:rPr>
          <w:rFonts w:ascii="Arial" w:cs="Arial" w:eastAsia="Arial" w:hAnsi="Arial"/>
          <w:sz w:val="24"/>
          <w:szCs w:val="24"/>
          <w:rtl w:val="0"/>
        </w:rPr>
        <w:t xml:space="preserve">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E">
      <w:pPr>
        <w:rPr>
          <w:rFonts w:ascii="Arial" w:cs="Arial" w:eastAsia="Arial" w:hAnsi="Arial"/>
          <w:sz w:val="24"/>
          <w:szCs w:val="24"/>
        </w:rPr>
      </w:pPr>
      <w:r w:rsidDel="00000000" w:rsidR="00000000" w:rsidRPr="00000000">
        <w:rPr>
          <w:rFonts w:ascii="Arial" w:cs="Arial" w:eastAsia="Arial" w:hAnsi="Arial"/>
          <w:sz w:val="24"/>
          <w:szCs w:val="24"/>
          <w:rtl w:val="0"/>
        </w:rPr>
        <w:t xml:space="preserve">(a) the nature of the Personal Data Breach; </w:t>
      </w:r>
    </w:p>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(b) the nature of Personal Data affected;</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(c) the categories and number of Data Subjects concerned;</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 the name and contact details of the Supplier’s Data Protection Officer or other relevant contact from whom more information may be obtained;</w:t>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(e) measures taken or proposed to be taken to address the Personal Data Breach; and</w:t>
      </w:r>
    </w:p>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sz w:val="24"/>
          <w:szCs w:val="24"/>
          <w:rtl w:val="0"/>
        </w:rPr>
        <w:t xml:space="preserve">(f) describe the likely consequences of the Personal Data Breach.</w:t>
      </w:r>
    </w:p>
    <w:p w:rsidR="00000000" w:rsidDel="00000000" w:rsidP="00000000" w:rsidRDefault="00000000" w:rsidRPr="00000000" w14:paraId="000000C4">
      <w:pPr>
        <w:keepNext w:val="1"/>
        <w:rPr>
          <w:rFonts w:ascii="Arial" w:cs="Arial" w:eastAsia="Arial" w:hAnsi="Arial"/>
          <w:b w:val="1"/>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b w:val="1"/>
          <w:sz w:val="24"/>
          <w:szCs w:val="24"/>
          <w:rtl w:val="0"/>
        </w:rPr>
        <w:t xml:space="preserve">. Audit</w:t>
      </w:r>
    </w:p>
    <w:p w:rsidR="00000000" w:rsidDel="00000000" w:rsidP="00000000" w:rsidRDefault="00000000" w:rsidRPr="00000000" w14:paraId="000000C5">
      <w:pPr>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permit:</w:t>
        <w:tab/>
      </w:r>
    </w:p>
    <w:p w:rsidR="00000000" w:rsidDel="00000000" w:rsidP="00000000" w:rsidRDefault="00000000" w:rsidRPr="00000000" w14:paraId="000000C6">
      <w:pPr>
        <w:keepNext w:val="1"/>
        <w:numPr>
          <w:ilvl w:val="0"/>
          <w:numId w:val="6"/>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keepNext w:val="1"/>
        <w:numPr>
          <w:ilvl w:val="0"/>
          <w:numId w:val="6"/>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4.2 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 Impact Assessments</w:t>
      </w:r>
    </w:p>
    <w:p w:rsidR="00000000" w:rsidDel="00000000" w:rsidP="00000000" w:rsidRDefault="00000000" w:rsidRPr="00000000" w14:paraId="000000CC">
      <w:pPr>
        <w:rPr>
          <w:rFonts w:ascii="Arial" w:cs="Arial" w:eastAsia="Arial" w:hAnsi="Arial"/>
          <w:sz w:val="24"/>
          <w:szCs w:val="24"/>
        </w:rPr>
      </w:pPr>
      <w:r w:rsidDel="00000000" w:rsidR="00000000" w:rsidRPr="00000000">
        <w:rPr>
          <w:rFonts w:ascii="Arial" w:cs="Arial" w:eastAsia="Arial" w:hAnsi="Arial"/>
          <w:sz w:val="24"/>
          <w:szCs w:val="24"/>
          <w:rtl w:val="0"/>
        </w:rPr>
        <w:t xml:space="preserve">5.1 The Parties shall:</w:t>
      </w:r>
    </w:p>
    <w:p w:rsidR="00000000" w:rsidDel="00000000" w:rsidP="00000000" w:rsidRDefault="00000000" w:rsidRPr="00000000" w14:paraId="000000CD">
      <w:pPr>
        <w:keepNext w:val="1"/>
        <w:numPr>
          <w:ilvl w:val="0"/>
          <w:numId w:val="5"/>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keepNext w:val="1"/>
        <w:numPr>
          <w:ilvl w:val="0"/>
          <w:numId w:val="5"/>
        </w:numPr>
        <w:pBdr>
          <w:top w:space="0" w:sz="0" w:val="nil"/>
          <w:left w:space="0" w:sz="0" w:val="nil"/>
          <w:bottom w:space="0" w:sz="0" w:val="nil"/>
          <w:right w:space="0" w:sz="0" w:val="nil"/>
          <w:between w:space="0" w:sz="0" w:val="nil"/>
        </w:pBdr>
        <w:spacing w:after="0" w:line="259" w:lineRule="auto"/>
        <w:ind w:left="709"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GDPR.</w:t>
      </w:r>
    </w:p>
    <w:p w:rsidR="00000000" w:rsidDel="00000000" w:rsidP="00000000" w:rsidRDefault="00000000" w:rsidRPr="00000000" w14:paraId="000000D0">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 ICO Guidance</w:t>
      </w:r>
    </w:p>
    <w:p w:rsidR="00000000" w:rsidDel="00000000" w:rsidP="00000000" w:rsidRDefault="00000000" w:rsidRPr="00000000" w14:paraId="000000D2">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 Liabilities for Data Protection Breach</w:t>
      </w:r>
    </w:p>
    <w:p w:rsidR="00000000" w:rsidDel="00000000" w:rsidP="00000000" w:rsidRDefault="00000000" w:rsidRPr="00000000" w14:paraId="000000D4">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5">
      <w:pPr>
        <w:rPr>
          <w:rFonts w:ascii="Arial" w:cs="Arial" w:eastAsia="Arial" w:hAnsi="Arial"/>
          <w:sz w:val="24"/>
          <w:szCs w:val="24"/>
        </w:rPr>
      </w:pPr>
      <w:r w:rsidDel="00000000" w:rsidR="00000000" w:rsidRPr="00000000">
        <w:rPr>
          <w:rFonts w:ascii="Arial" w:cs="Arial" w:eastAsia="Arial" w:hAnsi="Arial"/>
          <w:sz w:val="24"/>
          <w:szCs w:val="24"/>
          <w:rtl w:val="0"/>
        </w:rPr>
        <w:t xml:space="preserve">7.1 If financial penalties are imposed by the Information Commissioner on either the Relevant Authority or the Supplier for a Personal Data Breach ("</w:t>
      </w:r>
      <w:r w:rsidDel="00000000" w:rsidR="00000000" w:rsidRPr="00000000">
        <w:rPr>
          <w:rFonts w:ascii="Arial" w:cs="Arial" w:eastAsia="Arial" w:hAnsi="Arial"/>
          <w:b w:val="1"/>
          <w:sz w:val="24"/>
          <w:szCs w:val="24"/>
          <w:rtl w:val="0"/>
        </w:rPr>
        <w:t xml:space="preserve">Financial Penalties</w:t>
      </w:r>
      <w:r w:rsidDel="00000000" w:rsidR="00000000" w:rsidRPr="00000000">
        <w:rPr>
          <w:rFonts w:ascii="Arial" w:cs="Arial" w:eastAsia="Arial" w:hAnsi="Arial"/>
          <w:sz w:val="24"/>
          <w:szCs w:val="24"/>
          <w:rtl w:val="0"/>
        </w:rPr>
        <w:t xml:space="preserve">") then the following shall occur:</w:t>
      </w:r>
    </w:p>
    <w:p w:rsidR="00000000" w:rsidDel="00000000" w:rsidP="00000000" w:rsidRDefault="00000000" w:rsidRPr="00000000" w14:paraId="000000D6">
      <w:pPr>
        <w:keepNext w:val="1"/>
        <w:numPr>
          <w:ilvl w:val="0"/>
          <w:numId w:val="8"/>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8">
      <w:pPr>
        <w:keepNext w:val="1"/>
        <w:numPr>
          <w:ilvl w:val="0"/>
          <w:numId w:val="8"/>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keepNext w:val="1"/>
        <w:numPr>
          <w:ilvl w:val="0"/>
          <w:numId w:val="8"/>
        </w:numPr>
        <w:pBdr>
          <w:top w:space="0" w:sz="0" w:val="nil"/>
          <w:left w:space="0" w:sz="0" w:val="nil"/>
          <w:bottom w:space="0" w:sz="0" w:val="nil"/>
          <w:right w:space="0" w:sz="0" w:val="nil"/>
          <w:between w:space="0" w:sz="0" w:val="nil"/>
        </w:pBdr>
        <w:spacing w:after="280" w:line="259" w:lineRule="auto"/>
        <w:ind w:left="720" w:hanging="36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sidDel="00000000" w:rsidR="00000000" w:rsidRPr="00000000">
        <w:rPr>
          <w:rFonts w:ascii="Arial" w:cs="Arial" w:eastAsia="Arial" w:hAnsi="Arial"/>
          <w:i w:val="1"/>
          <w:sz w:val="24"/>
          <w:szCs w:val="24"/>
          <w:rtl w:val="0"/>
        </w:rPr>
        <w:t xml:space="preserve">Resolving disputes</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DB">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7.2 If either the </w:t>
      </w:r>
      <w:r w:rsidDel="00000000" w:rsidR="00000000" w:rsidRPr="00000000">
        <w:rPr>
          <w:rFonts w:ascii="Arial" w:cs="Arial" w:eastAsia="Arial" w:hAnsi="Arial"/>
          <w:b w:val="0"/>
          <w:sz w:val="24"/>
          <w:szCs w:val="24"/>
          <w:rtl w:val="0"/>
        </w:rPr>
        <w:t xml:space="preserve">Relevant</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color w:val="000000"/>
          <w:sz w:val="24"/>
          <w:szCs w:val="24"/>
          <w:rtl w:val="0"/>
        </w:rPr>
        <w:t xml:space="preserve">Authority or the Supplier is the defendant in a legal claim brought before a court of competent jurisdiction (“</w:t>
      </w:r>
      <w:r w:rsidDel="00000000" w:rsidR="00000000" w:rsidRPr="00000000">
        <w:rPr>
          <w:rFonts w:ascii="Arial" w:cs="Arial" w:eastAsia="Arial" w:hAnsi="Arial"/>
          <w:color w:val="000000"/>
          <w:sz w:val="24"/>
          <w:szCs w:val="24"/>
          <w:rtl w:val="0"/>
        </w:rPr>
        <w:t xml:space="preserve">Court</w:t>
      </w:r>
      <w:r w:rsidDel="00000000" w:rsidR="00000000" w:rsidRPr="00000000">
        <w:rPr>
          <w:rFonts w:ascii="Arial" w:cs="Arial" w:eastAsia="Arial" w:hAnsi="Arial"/>
          <w:b w:val="0"/>
          <w:color w:val="000000"/>
          <w:sz w:val="24"/>
          <w:szCs w:val="24"/>
          <w:rtl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C">
      <w:pPr>
        <w:pStyle w:val="Head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7.3 In respect of any losses, cost claims or expenses incurred by either Party as a result of a Personal Data Breach (the “</w:t>
      </w:r>
      <w:r w:rsidDel="00000000" w:rsidR="00000000" w:rsidRPr="00000000">
        <w:rPr>
          <w:rFonts w:ascii="Arial" w:cs="Arial" w:eastAsia="Arial" w:hAnsi="Arial"/>
          <w:color w:val="000000"/>
          <w:sz w:val="24"/>
          <w:szCs w:val="24"/>
          <w:rtl w:val="0"/>
        </w:rPr>
        <w:t xml:space="preserve">Claim Losses</w:t>
      </w:r>
      <w:r w:rsidDel="00000000" w:rsidR="00000000" w:rsidRPr="00000000">
        <w:rPr>
          <w:rFonts w:ascii="Arial" w:cs="Arial" w:eastAsia="Arial" w:hAnsi="Arial"/>
          <w:b w:val="0"/>
          <w:color w:val="000000"/>
          <w:sz w:val="24"/>
          <w:szCs w:val="24"/>
          <w:rtl w:val="0"/>
        </w:rPr>
        <w:t xml:space="preserve">”):</w:t>
      </w:r>
    </w:p>
    <w:p w:rsidR="00000000" w:rsidDel="00000000" w:rsidP="00000000" w:rsidRDefault="00000000" w:rsidRPr="00000000" w14:paraId="000000DD">
      <w:pPr>
        <w:pStyle w:val="Heading3"/>
        <w:keepNext w:val="0"/>
        <w:keepLines w:val="0"/>
        <w:spacing w:after="240" w:before="0" w:lineRule="auto"/>
        <w:ind w:left="11" w:firstLine="0"/>
        <w:jc w:val="both"/>
        <w:rPr>
          <w:rFonts w:ascii="Arial" w:cs="Arial" w:eastAsia="Arial" w:hAnsi="Arial"/>
          <w:b w:val="0"/>
          <w:sz w:val="24"/>
          <w:szCs w:val="24"/>
        </w:rPr>
      </w:pPr>
      <w:r w:rsidDel="00000000" w:rsidR="00000000" w:rsidRPr="00000000">
        <w:rPr>
          <w:rtl w:val="0"/>
        </w:rPr>
      </w:r>
    </w:p>
    <w:p w:rsidR="00000000" w:rsidDel="00000000" w:rsidP="00000000" w:rsidRDefault="00000000" w:rsidRPr="00000000" w14:paraId="000000DE">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keepNext w:val="1"/>
        <w:numPr>
          <w:ilvl w:val="0"/>
          <w:numId w:val="9"/>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sz w:val="24"/>
          <w:szCs w:val="24"/>
        </w:rPr>
      </w:pPr>
      <w:r w:rsidDel="00000000" w:rsidR="00000000" w:rsidRPr="00000000">
        <w:rPr>
          <w:rFonts w:ascii="Arial" w:cs="Arial" w:eastAsia="Arial" w:hAnsi="Arial"/>
          <w:sz w:val="24"/>
          <w:szCs w:val="24"/>
          <w:rtl w:val="0"/>
        </w:rPr>
        <w:t xml:space="preserve">7.4 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5">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 Termination</w:t>
      </w:r>
    </w:p>
    <w:p w:rsidR="00000000" w:rsidDel="00000000" w:rsidP="00000000" w:rsidRDefault="00000000" w:rsidRPr="00000000" w14:paraId="000000E6">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9. Sub-Processing</w:t>
      </w:r>
      <w:r w:rsidDel="00000000" w:rsidR="00000000" w:rsidRPr="00000000">
        <w:rPr>
          <w:rtl w:val="0"/>
        </w:rPr>
      </w:r>
    </w:p>
    <w:p w:rsidR="00000000" w:rsidDel="00000000" w:rsidP="00000000" w:rsidRDefault="00000000" w:rsidRPr="00000000" w14:paraId="000000E8">
      <w:pPr>
        <w:rPr>
          <w:rFonts w:ascii="Arial" w:cs="Arial" w:eastAsia="Arial" w:hAnsi="Arial"/>
          <w:sz w:val="24"/>
          <w:szCs w:val="24"/>
        </w:rPr>
      </w:pPr>
      <w:r w:rsidDel="00000000" w:rsidR="00000000" w:rsidRPr="00000000">
        <w:rPr>
          <w:rFonts w:ascii="Arial" w:cs="Arial" w:eastAsia="Arial" w:hAnsi="Arial"/>
          <w:sz w:val="24"/>
          <w:szCs w:val="24"/>
          <w:rtl w:val="0"/>
        </w:rPr>
        <w:t xml:space="preserve">10.1 In respect of any Processing of Personal Data performed by a third party on behalf of a Party, that Party shall:</w:t>
      </w:r>
    </w:p>
    <w:p w:rsidR="00000000" w:rsidDel="00000000" w:rsidP="00000000" w:rsidRDefault="00000000" w:rsidRPr="00000000" w14:paraId="000000E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ensure that a suitable agreement is in place with the third party as required under applicable Data Protection Legislation.</w:t>
      </w:r>
    </w:p>
    <w:p w:rsidR="00000000" w:rsidDel="00000000" w:rsidP="00000000" w:rsidRDefault="00000000" w:rsidRPr="00000000" w14:paraId="000000EB">
      <w:pPr>
        <w:keepNext w:val="1"/>
        <w:keepLines w:val="1"/>
        <w:rPr>
          <w:rFonts w:ascii="Arial" w:cs="Arial" w:eastAsia="Arial" w:hAnsi="Arial"/>
          <w:sz w:val="24"/>
          <w:szCs w:val="24"/>
        </w:rPr>
      </w:pPr>
      <w:r w:rsidDel="00000000" w:rsidR="00000000" w:rsidRPr="00000000">
        <w:rPr>
          <w:rFonts w:ascii="Arial" w:cs="Arial" w:eastAsia="Arial" w:hAnsi="Arial"/>
          <w:b w:val="1"/>
          <w:sz w:val="24"/>
          <w:szCs w:val="24"/>
          <w:rtl w:val="0"/>
        </w:rPr>
        <w:t xml:space="preserve">10. Data Retention</w:t>
      </w:r>
      <w:r w:rsidDel="00000000" w:rsidR="00000000" w:rsidRPr="00000000">
        <w:rPr>
          <w:rtl w:val="0"/>
        </w:rPr>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2160" w:right="0" w:hanging="21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5"/>
    <w:bookmarkEnd w:id="15"/>
    <w:p w:rsidR="00000000" w:rsidDel="00000000" w:rsidP="00000000" w:rsidRDefault="00000000" w:rsidRPr="00000000" w14:paraId="000000EE">
      <w:pPr>
        <w:keepNext w:val="1"/>
        <w:keepLines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tl w:val="0"/>
        </w:rPr>
      </w:r>
    </w:p>
    <w:sectPr>
      <w:headerReference r:id="rId7" w:type="default"/>
      <w:headerReference r:id="rId8" w:type="first"/>
      <w:footerReference r:id="rId9" w:type="default"/>
      <w:footerReference r:id="rId10"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4">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tab/>
      <w:t xml:space="preserve">                                           </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F7">
    <w:pPr>
      <w:spacing w:after="0" w:lineRule="auto"/>
      <w:rPr/>
    </w:pPr>
    <w:r w:rsidDel="00000000" w:rsidR="00000000" w:rsidRPr="00000000">
      <w:rPr>
        <w:rFonts w:ascii="Arial" w:cs="Arial" w:eastAsia="Arial" w:hAnsi="Arial"/>
        <w:sz w:val="20"/>
        <w:szCs w:val="20"/>
        <w:rtl w:val="0"/>
      </w:rPr>
      <w:t xml:space="preserve">Model Version: v4.2</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11 (Processing Data)</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lang w:eastAsia="en-GB"/>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ascii="Calibri" w:cs="Times New Roman" w:eastAsia="Calibri" w:hAnsi="Calibri"/>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26"/>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26"/>
      </w:numPr>
      <w:spacing w:after="0" w:line="300" w:lineRule="atLeast"/>
      <w:jc w:val="both"/>
    </w:pPr>
    <w:rPr>
      <w:rFonts w:ascii="Times New Roman" w:cs="Times New Roman" w:hAnsi="Times New Roman"/>
    </w:rPr>
  </w:style>
  <w:style w:type="paragraph" w:styleId="TLTLevel1" w:customStyle="1">
    <w:name w:val="TLT Level 1"/>
    <w:basedOn w:val="Normal"/>
    <w:rsid w:val="002404A4"/>
    <w:pPr>
      <w:numPr>
        <w:numId w:val="27"/>
      </w:numPr>
      <w:spacing w:before="100" w:line="240" w:lineRule="auto"/>
    </w:pPr>
    <w:rPr>
      <w:rFonts w:ascii="Arial" w:cs="Arial" w:hAnsi="Arial"/>
      <w:sz w:val="20"/>
      <w:szCs w:val="20"/>
      <w:lang w:eastAsia="en-GB"/>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numPr>
        <w:ilvl w:val="1"/>
        <w:numId w:val="27"/>
      </w:numPr>
      <w:spacing w:before="100" w:line="240" w:lineRule="auto"/>
    </w:pPr>
  </w:style>
  <w:style w:type="paragraph" w:styleId="TLTLevel3" w:customStyle="1">
    <w:name w:val="TLT Level 3"/>
    <w:basedOn w:val="Normal"/>
    <w:rsid w:val="002404A4"/>
    <w:pPr>
      <w:numPr>
        <w:ilvl w:val="2"/>
        <w:numId w:val="27"/>
      </w:numPr>
      <w:spacing w:before="100" w:line="240" w:lineRule="auto"/>
      <w:ind w:left="2160" w:hanging="180"/>
    </w:pPr>
    <w:rPr>
      <w:rFonts w:ascii="Times New Roman" w:cs="Times New Roman" w:hAnsi="Times New Roman"/>
    </w:rPr>
  </w:style>
  <w:style w:type="paragraph" w:styleId="TLTLevel4" w:customStyle="1">
    <w:name w:val="TLT Level 4"/>
    <w:basedOn w:val="Normal"/>
    <w:rsid w:val="002404A4"/>
    <w:pPr>
      <w:numPr>
        <w:ilvl w:val="3"/>
        <w:numId w:val="27"/>
      </w:numPr>
      <w:spacing w:before="100" w:line="240" w:lineRule="auto"/>
      <w:ind w:left="2880" w:hanging="360"/>
    </w:pPr>
    <w:rPr>
      <w:rFonts w:ascii="Times New Roman" w:cs="Times New Roman" w:hAnsi="Times New Roman"/>
    </w:rPr>
  </w:style>
  <w:style w:type="paragraph" w:styleId="TLTLevel5" w:customStyle="1">
    <w:name w:val="TLT Level 5"/>
    <w:basedOn w:val="Normal"/>
    <w:rsid w:val="002404A4"/>
    <w:pPr>
      <w:numPr>
        <w:ilvl w:val="4"/>
        <w:numId w:val="27"/>
      </w:numPr>
      <w:spacing w:before="100" w:line="240" w:lineRule="auto"/>
      <w:ind w:left="3600" w:hanging="360"/>
    </w:pPr>
    <w:rPr>
      <w:rFonts w:ascii="Times New Roman" w:cs="Times New Roman" w:hAnsi="Times New Roman"/>
    </w:rPr>
  </w:style>
  <w:style w:type="numbering" w:styleId="Level" w:customStyle="1">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sLelQ8D7jTczjfnDSUkDEKF4vA==">AMUW2mVf7gTdYByPlXv04IF7XsaBPEkg6kgcvWjf0P9q+rAc1qzkSqovjRm79s4LGXKaVLvvtY/b/X8dvHxMXvEdPBUKNtkP+nsVi48lVwxijIb2OPwpCQf2puQcofSP3Yju4wbFejXehIy5WGX8YiyGJkP0cfS3hHDJzd0Mzk5Obmbzafv96wEYvJs1Xbbd+SvOJ9rX3ANdSy7MYysmPThItQ3i7DsCRXaiRZULxv1he1W23ER6gvlBA7x2XdSHrL/hMfVxAgv3P5eZfmphgWwaedFlIT9wxb+cH0upim3v0wbV1HueeS1z0VnBK18iXKE/Ia4fRx6oEOrubaWyi8VMdiZ+jCUvKIRMvaAq2sXaB+RghNlvi0PKup4oVnQPV8zRxifUCbQ1tRL5LUXprkdH03fAAYB+8ad0vuwgxUtHJysYa0HkSjVgRAFt3pwrrmBP5pU6xB74cDqKY7rpQJToXlASoPK11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2019-06-25T21:02:00Z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